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26-371</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701—Chapters 404 and 405</w:t>
      </w:r>
    </w:p>
    <w:p>
      <w:pPr>
        <w:spacing w:before="0" w:after="0" w:line="480"/>
        <w:ind w:left="120"/>
        <w:jc w:val="center"/>
      </w:pPr>
      <w:r>
        <w:rPr>
          <w:rFonts w:ascii="Times New Roman" w:hAnsi="Times New Roman"/>
          <w:b w:val="false"/>
          <w:i w:val="false"/>
          <w:color w:val="000000"/>
          <w:sz w:val="24"/>
        </w:rPr>
        <w:t>“Composite Returns”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422.16B</w:t>
      </w:r>
    </w:p>
    <w:p>
      <w:pPr>
        <w:spacing w:before="0" w:after="0" w:line="480"/>
        <w:ind w:left="120"/>
        <w:jc w:val="both"/>
      </w:pPr>
      <w:r>
        <w:rPr>
          <w:rFonts w:ascii="Times New Roman" w:hAnsi="Times New Roman"/>
          <w:b w:val="false"/>
          <w:i w:val="false"/>
          <w:color w:val="000000"/>
          <w:sz w:val="24"/>
        </w:rPr>
        <w:t>State or federal law(s) implemented by the rulemaking: Iowa Code section 422.16B</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Tiana Slaney</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w:t>
            </w:r>
            <w:r>
              <w:br/>
            </w:r>
            <w:r>
              <w:rPr>
                <w:rFonts w:ascii="Times New Roman" w:hAnsi="Times New Roman"/>
                <w:b w:val="false"/>
                <w:i w:val="false"/>
                <w:color w:val="000000"/>
                <w:sz w:val="14"/>
              </w:rPr>
              <w:t>Phone: 515.336.9007</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tiana.slaney@iowa.gov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The purpose of this proposed rulemaking is to rescind Chapter 404 and to rescind and adopt a new Chapter 405 that relates to the requirements of composite returns. The rulemaking rescinds Chapter 404, which is no longer applicable, and removes unnecessary language from Chapter 405 as required under Executive Order 10. The proposed rulemaking helps taxpayers understand their obligations for composite return tax and clarifies the requirements for composite returns. </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Taxpayers that are required to file composite returns and remit composite return tax and taxpayers that can claim composite tax credits will benefit from the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This rulemaking has no economic impact beyond that of the legislation it implements.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provides information to taxpayers that are required to file composite returns and taxpayers who can claim composite tax credits.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 xml:space="preserve">There is no cost to the State from this proposed rulemaking beyond that of the statute it implements. There is no known cost to any other agency.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There is no anticipated effect on State revenues from this proposed rulemaking. It only provides guidance on the requirements in statute. The guidance could help taxpayers meet their obligations more easily, which would reduce any impact on State revenues from enforcement of the requirements.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Without guidance from the Department on these requirements, taxpayers subject to the composite return requirements and taxpayers who are permitted to claim composite returns may do so incorrectly or may spend time and money requesting guidance from the Department.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only alternative would be providing no guidance at all or providing guidance on a case-by-case, informal basis.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 xml:space="preserve">Not providing guidance or providing guidance on a case-by-case, informal basis would likely result in increased costs to the Department and taxpayers through increased questions or requests for guidance and could result in inconsistent guidance given over time. </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requirements associated with these rules are imposed by the Iowa Code, and the Department has no authority to make exceptions not already contemplated by the law for small businesses.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701—Chapter 404</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405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405</w:t>
      </w:r>
    </w:p>
    <w:p>
      <w:pPr>
        <w:spacing w:before="0" w:after="0" w:line="480"/>
        <w:ind w:left="120"/>
        <w:jc w:val="center"/>
      </w:pPr>
      <w:r>
        <w:rPr>
          <w:rFonts w:ascii="Times New Roman" w:hAnsi="Times New Roman"/>
          <w:b w:val="false"/>
          <w:i w:val="false"/>
          <w:color w:val="000000"/>
          <w:sz w:val="21"/>
        </w:rPr>
        <w:t>COMPOSITE RETURNS</w:t>
      </w:r>
    </w:p>
    <w:p>
      <w:pPr>
        <w:spacing w:before="0" w:after="0" w:line="480"/>
        <w:ind w:left="120"/>
        <w:jc w:val="both"/>
      </w:pPr>
      <w:r>
        <w:rPr>
          <w:rFonts w:ascii="Times New Roman" w:hAnsi="Times New Roman"/>
          <w:b/>
          <w:i w:val="false"/>
          <w:color w:val="000000"/>
          <w:sz w:val="24"/>
        </w:rPr>
        <w:t>701—405.1</w:t>
      </w:r>
      <w:r>
        <w:rPr>
          <w:rFonts w:ascii="Times New Roman" w:hAnsi="Times New Roman"/>
          <w:b/>
          <w:i w:val="false"/>
          <w:color w:val="000000"/>
          <w:sz w:val="24"/>
        </w:rPr>
        <w:t xml:space="preserve">(422) </w:t>
      </w:r>
      <w:r>
        <w:rPr>
          <w:rFonts w:ascii="Times New Roman" w:hAnsi="Times New Roman"/>
          <w:b/>
          <w:i w:val="false"/>
          <w:color w:val="000000"/>
          <w:sz w:val="24"/>
        </w:rPr>
        <w:t xml:space="preserve">Composite returns. </w:t>
      </w:r>
      <w:r>
        <w:rPr>
          <w:rFonts w:ascii="Times New Roman" w:hAnsi="Times New Roman"/>
          <w:b w:val="false"/>
          <w:i w:val="false"/>
          <w:color w:val="000000"/>
          <w:sz w:val="24"/>
        </w:rPr>
        <w:t xml:space="preserve">A pass-through entity with one or more nonresident members for any period of time during the tax year shall file a composite return using the Iowa composite return (IA PTE-C) and pay Iowa income or franchise tax on behalf of all of its nonresident members, unless an exception in rule </w:t>
      </w:r>
      <w:hyperlink r:id="rId6">
        <w:r>
          <w:rPr>
            <w:rStyle w:val="Hyperlink"/>
            <w:rFonts w:ascii="Times New Roman" w:hAnsi="Times New Roman"/>
            <w:b w:val="false"/>
            <w:i w:val="false"/>
            <w:color w:val="000000"/>
            <w:sz w:val="24"/>
          </w:rPr>
          <w:t>701—405.5</w:t>
        </w:r>
      </w:hyperlink>
      <w:r>
        <w:rPr>
          <w:rFonts w:ascii="Times New Roman" w:hAnsi="Times New Roman"/>
          <w:b w:val="false"/>
          <w:i w:val="false"/>
          <w:color w:val="000000"/>
          <w:sz w:val="24"/>
        </w:rPr>
        <w:t xml:space="preserve">(422) applies.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701—405.2</w:t>
      </w:r>
      <w:r>
        <w:rPr>
          <w:rFonts w:ascii="Times New Roman" w:hAnsi="Times New Roman"/>
          <w:b/>
          <w:i w:val="false"/>
          <w:color w:val="000000"/>
          <w:sz w:val="24"/>
        </w:rPr>
        <w:t xml:space="preserve">(422) </w:t>
      </w:r>
      <w:r>
        <w:rPr>
          <w:rFonts w:ascii="Times New Roman" w:hAnsi="Times New Roman"/>
          <w:b/>
          <w:i w:val="false"/>
          <w:color w:val="000000"/>
          <w:sz w:val="24"/>
        </w:rPr>
        <w:t xml:space="preserve">Definitions. </w:t>
      </w:r>
      <w:r>
        <w:rPr>
          <w:rFonts w:ascii="Times New Roman" w:hAnsi="Times New Roman"/>
          <w:b w:val="false"/>
          <w:i w:val="false"/>
          <w:color w:val="000000"/>
          <w:sz w:val="24"/>
        </w:rPr>
        <w:t xml:space="preserve">Unless otherwise indicated in this rule or required by the context, all words and phrases defined in Iowa Code section </w:t>
      </w:r>
      <w:hyperlink r:id="rId8">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 xml:space="preserve"> have the same meaning when used in this chapter. For the purposes of this chapter: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“Composite return”</w:t>
      </w:r>
      <w:r>
        <w:rPr>
          <w:rFonts w:ascii="Times New Roman" w:hAnsi="Times New Roman"/>
          <w:b w:val="false"/>
          <w:i/>
          <w:color w:val="000000"/>
          <w:sz w:val="24"/>
          <w:u w:val="single"/>
        </w:rPr>
        <w:t> </w:t>
      </w:r>
      <w:r>
        <w:rPr>
          <w:rFonts w:ascii="Times New Roman" w:hAnsi="Times New Roman"/>
          <w:b w:val="false"/>
          <w:i w:val="false"/>
          <w:color w:val="000000"/>
          <w:sz w:val="24"/>
        </w:rPr>
        <w:t>means the IA PTE-C Iowa composite return that reports information about the Iowa-source income or other amounts credited or paid to each nonresident member of the pass-through entity, the amount of composite return tax due on behalf of each nonresident member of the pass-through entity, and such other information as the department may require.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“Composite return tax”</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the Iowa income tax or franchise tax due by a pass-through entity on behalf of the pass-through entity’s nonresident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 income tax return”</w:t>
      </w:r>
      <w:r>
        <w:rPr>
          <w:rFonts w:ascii="Times New Roman" w:hAnsi="Times New Roman"/>
          <w:b w:val="false"/>
          <w:i/>
          <w:color w:val="000000"/>
          <w:sz w:val="24"/>
          <w:u w:val="single"/>
        </w:rPr>
        <w:t> </w:t>
      </w:r>
      <w:r>
        <w:rPr>
          <w:rFonts w:ascii="Times New Roman" w:hAnsi="Times New Roman"/>
          <w:b w:val="false"/>
          <w:i w:val="false"/>
          <w:color w:val="000000"/>
          <w:sz w:val="24"/>
        </w:rPr>
        <w:t>means the pass-through entity’s IA 1065 Iowa partnership return, the IA 1120S Iowa income tax return for S corporations, or the IA 1041 Iowa fiduciary return, whichever is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“Tax year”</w:t>
      </w:r>
      <w:r>
        <w:rPr>
          <w:rFonts w:ascii="Times New Roman" w:hAnsi="Times New Roman"/>
          <w:b w:val="false"/>
          <w:i/>
          <w:color w:val="000000"/>
          <w:sz w:val="24"/>
          <w:u w:val="single"/>
        </w:rPr>
        <w:t> </w:t>
      </w:r>
      <w:r>
        <w:rPr>
          <w:rFonts w:ascii="Times New Roman" w:hAnsi="Times New Roman"/>
          <w:b w:val="false"/>
          <w:i w:val="false"/>
          <w:color w:val="000000"/>
          <w:sz w:val="24"/>
        </w:rPr>
        <w:t>means the tax year of the pass-through entity filing the composite return.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701—405.3</w:t>
      </w:r>
      <w:r>
        <w:rPr>
          <w:rFonts w:ascii="Times New Roman" w:hAnsi="Times New Roman"/>
          <w:b/>
          <w:i w:val="false"/>
          <w:color w:val="000000"/>
          <w:sz w:val="24"/>
        </w:rPr>
        <w:t xml:space="preserve">(422) </w:t>
      </w:r>
      <w:r>
        <w:rPr>
          <w:rFonts w:ascii="Times New Roman" w:hAnsi="Times New Roman"/>
          <w:b/>
          <w:i w:val="false"/>
          <w:color w:val="000000"/>
          <w:sz w:val="24"/>
        </w:rPr>
        <w:t xml:space="preserve">Filing and payment for pass-through entities.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405.3(1)</w:t>
      </w:r>
      <w:r>
        <w:rPr>
          <w:rFonts w:ascii="Times New Roman" w:hAnsi="Times New Roman"/>
          <w:b w:val="false"/>
          <w:i w:val="false"/>
          <w:color w:val="000000"/>
          <w:sz w:val="24"/>
        </w:rPr>
        <w:t> </w:t>
      </w:r>
      <w:r>
        <w:rPr>
          <w:rFonts w:ascii="Times New Roman" w:hAnsi="Times New Roman"/>
          <w:b w:val="false"/>
          <w:i/>
          <w:color w:val="000000"/>
          <w:sz w:val="24"/>
        </w:rPr>
        <w:t xml:space="preserve">Filing requirement. </w:t>
      </w:r>
      <w:r>
        <w:rPr>
          <w:rFonts w:ascii="Times New Roman" w:hAnsi="Times New Roman"/>
          <w:b w:val="false"/>
          <w:i w:val="false"/>
          <w:color w:val="000000"/>
          <w:sz w:val="24"/>
        </w:rPr>
        <w:t xml:space="preserve">A pass-through entity that is required to file a pass-through entity Iowa income tax return and that has one or more nonresident members for any period of time during the tax year is required to file a composite return unless it meets the conditions for an exception outlined in subrule </w:t>
      </w:r>
      <w:hyperlink r:id="rId10">
        <w:r>
          <w:rPr>
            <w:rStyle w:val="Hyperlink"/>
            <w:rFonts w:ascii="Times New Roman" w:hAnsi="Times New Roman"/>
            <w:b w:val="false"/>
            <w:i w:val="false"/>
            <w:color w:val="000000"/>
            <w:sz w:val="24"/>
          </w:rPr>
          <w:t>405.5(1)</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pass-through entity with nonresident members must file a composite return and pay composite return tax on behalf of all nonresident members, except for the nonresident members the pass-through entity can demonstrate are exempt from the composite return requirement pursuant to subrule </w:t>
      </w:r>
      <w:hyperlink r:id="rId11">
        <w:r>
          <w:rPr>
            <w:rStyle w:val="Hyperlink"/>
            <w:rFonts w:ascii="Times New Roman" w:hAnsi="Times New Roman"/>
            <w:b w:val="false"/>
            <w:i w:val="false"/>
            <w:color w:val="000000"/>
            <w:sz w:val="24"/>
          </w:rPr>
          <w:t>405.5(2)</w:t>
        </w:r>
      </w:hyperlink>
      <w:r>
        <w:rPr>
          <w:rFonts w:ascii="Times New Roman" w:hAnsi="Times New Roman"/>
          <w:b w:val="false"/>
          <w:i w:val="false"/>
          <w:color w:val="000000"/>
          <w:sz w:val="24"/>
        </w:rPr>
        <w:t xml:space="preserve"> or that have elected out of the composite return requirement pursuant to rule </w:t>
      </w:r>
      <w:hyperlink r:id="rId12">
        <w:r>
          <w:rPr>
            <w:rStyle w:val="Hyperlink"/>
            <w:rFonts w:ascii="Times New Roman" w:hAnsi="Times New Roman"/>
            <w:b w:val="false"/>
            <w:i w:val="false"/>
            <w:color w:val="000000"/>
            <w:sz w:val="24"/>
          </w:rPr>
          <w:t>701—405.6</w:t>
        </w:r>
      </w:hyperlink>
      <w:r>
        <w:rPr>
          <w:rFonts w:ascii="Times New Roman" w:hAnsi="Times New Roman"/>
          <w:b w:val="false"/>
          <w:i w:val="false"/>
          <w:color w:val="000000"/>
          <w:sz w:val="24"/>
        </w:rPr>
        <w:t xml:space="preserve">(422).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pass-through entity must report all of its nonresident members, including nonresident members who are exempt from or who elect out of the composite return requirement, even though the pass-through entity is not required to pay composite return tax on behalf of those nonresident members. If all nonresident members are exempt from or elect out of the composite return requirement, the pass-through entity shall file a composite return reporting required information about all of its nonresident members and showing no composite return tax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pass-through entity required to file its Iowa partnership return (IA 1065), Iowa income tax return for S corporations (IA 1120S), or Iowa fiduciary return (IA 1041) for a tax year in an electronic format under Iowa Code section </w:t>
      </w:r>
      <w:hyperlink r:id="rId13">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w:t>
      </w:r>
      <w:hyperlink r:id="rId14">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 xml:space="preserve">, or </w:t>
      </w:r>
      <w:hyperlink r:id="rId15">
        <w:r>
          <w:rPr>
            <w:rStyle w:val="Hyperlink"/>
            <w:rFonts w:ascii="Times New Roman" w:hAnsi="Times New Roman"/>
            <w:b w:val="false"/>
            <w:i w:val="false"/>
            <w:color w:val="000000"/>
            <w:sz w:val="24"/>
          </w:rPr>
          <w:t>422.36</w:t>
        </w:r>
      </w:hyperlink>
      <w:r>
        <w:rPr>
          <w:rFonts w:ascii="Times New Roman" w:hAnsi="Times New Roman"/>
          <w:b w:val="false"/>
          <w:i w:val="false"/>
          <w:color w:val="000000"/>
          <w:sz w:val="24"/>
        </w:rPr>
        <w:t xml:space="preserve"> shall also be required to file its composite return for that tax year in an electronic format. Rule </w:t>
      </w:r>
      <w:hyperlink r:id="rId16">
        <w:r>
          <w:rPr>
            <w:rStyle w:val="Hyperlink"/>
            <w:rFonts w:ascii="Times New Roman" w:hAnsi="Times New Roman"/>
            <w:b w:val="false"/>
            <w:i w:val="false"/>
            <w:color w:val="000000"/>
            <w:sz w:val="24"/>
          </w:rPr>
          <w:t>701—8.7</w:t>
        </w:r>
      </w:hyperlink>
      <w:r>
        <w:rPr>
          <w:rFonts w:ascii="Times New Roman" w:hAnsi="Times New Roman"/>
          <w:b w:val="false"/>
          <w:i w:val="false"/>
          <w:color w:val="000000"/>
          <w:sz w:val="24"/>
        </w:rPr>
        <w:t>(422) contains more information about mandatory electronic filing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composite return must be filed as instructed on the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405.3(2)</w:t>
      </w:r>
      <w:r>
        <w:rPr>
          <w:rFonts w:ascii="Times New Roman" w:hAnsi="Times New Roman"/>
          <w:b w:val="false"/>
          <w:i w:val="false"/>
          <w:color w:val="000000"/>
          <w:sz w:val="24"/>
        </w:rPr>
        <w:t> </w:t>
      </w:r>
      <w:r>
        <w:rPr>
          <w:rFonts w:ascii="Times New Roman" w:hAnsi="Times New Roman"/>
          <w:b w:val="false"/>
          <w:i/>
          <w:color w:val="000000"/>
          <w:sz w:val="24"/>
        </w:rPr>
        <w:t xml:space="preserve">Due date of composite return—automatic extensions. </w:t>
      </w:r>
      <w:r>
        <w:rPr>
          <w:rFonts w:ascii="Times New Roman" w:hAnsi="Times New Roman"/>
          <w:b w:val="false"/>
          <w:i w:val="false"/>
          <w:color w:val="000000"/>
          <w:sz w:val="24"/>
        </w:rPr>
        <w:t xml:space="preserve">The composite return is due and must be filed on or before the due date of the pass-through entity’s Iowa income tax return. If the pass-through entity qualifies for and receives an extension to file its Iowa income tax return, it will also automatically qualify for and receive the same period of extension to file its composite return. Any composite return filed after the due date, including extensions, may be subject to the penalty for failure to timely file a return pursuant to Iowa Code section </w:t>
      </w:r>
      <w:hyperlink r:id="rId17">
        <w:r>
          <w:rPr>
            <w:rStyle w:val="Hyperlink"/>
            <w:rFonts w:ascii="Times New Roman" w:hAnsi="Times New Roman"/>
            <w:b w:val="false"/>
            <w:i w:val="false"/>
            <w:color w:val="000000"/>
            <w:sz w:val="24"/>
          </w:rPr>
          <w:t>421.27</w:t>
        </w:r>
      </w:hyperlink>
      <w:r>
        <w:rPr>
          <w:rFonts w:ascii="Times New Roman" w:hAnsi="Times New Roman"/>
          <w:b w:val="false"/>
          <w:i w:val="false"/>
          <w:color w:val="000000"/>
          <w:sz w:val="24"/>
        </w:rPr>
        <w:t xml:space="preserve"> and subject to other applicable penalties provided by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405.3(3)</w:t>
      </w:r>
      <w:r>
        <w:rPr>
          <w:rFonts w:ascii="Times New Roman" w:hAnsi="Times New Roman"/>
          <w:b w:val="false"/>
          <w:i w:val="false"/>
          <w:color w:val="000000"/>
          <w:sz w:val="24"/>
        </w:rPr>
        <w:t> </w:t>
      </w:r>
      <w:r>
        <w:rPr>
          <w:rFonts w:ascii="Times New Roman" w:hAnsi="Times New Roman"/>
          <w:b w:val="false"/>
          <w:i/>
          <w:color w:val="000000"/>
          <w:sz w:val="24"/>
        </w:rPr>
        <w:t xml:space="preserve">Due date of composite return tax. </w:t>
      </w:r>
      <w:r>
        <w:rPr>
          <w:rFonts w:ascii="Times New Roman" w:hAnsi="Times New Roman"/>
          <w:b w:val="false"/>
          <w:i w:val="false"/>
          <w:color w:val="000000"/>
          <w:sz w:val="24"/>
        </w:rPr>
        <w:t xml:space="preserve">The composite return tax is due by the original due date of the pass-through entity’s Iowa income tax return. The filing extension described in subrule </w:t>
      </w:r>
      <w:hyperlink r:id="rId18">
        <w:r>
          <w:rPr>
            <w:rStyle w:val="Hyperlink"/>
            <w:rFonts w:ascii="Times New Roman" w:hAnsi="Times New Roman"/>
            <w:b w:val="false"/>
            <w:i w:val="false"/>
            <w:color w:val="000000"/>
            <w:sz w:val="24"/>
          </w:rPr>
          <w:t>405.3(2)</w:t>
        </w:r>
      </w:hyperlink>
      <w:r>
        <w:rPr>
          <w:rFonts w:ascii="Times New Roman" w:hAnsi="Times New Roman"/>
          <w:b w:val="false"/>
          <w:i w:val="false"/>
          <w:color w:val="000000"/>
          <w:sz w:val="24"/>
        </w:rPr>
        <w:t xml:space="preserve"> does not extend the due date for paying the composite return tax. Any unpaid composite return tax is subject to interest computed from the original due date of the pass-through entity’s income tax return. The pass-through entity may also be subject to the penalty for failure to timely pay tax due pursuant to Iowa Code section </w:t>
      </w:r>
      <w:hyperlink r:id="rId19">
        <w:r>
          <w:rPr>
            <w:rStyle w:val="Hyperlink"/>
            <w:rFonts w:ascii="Times New Roman" w:hAnsi="Times New Roman"/>
            <w:b w:val="false"/>
            <w:i w:val="false"/>
            <w:color w:val="000000"/>
            <w:sz w:val="24"/>
          </w:rPr>
          <w:t>421.27</w:t>
        </w:r>
      </w:hyperlink>
      <w:r>
        <w:rPr>
          <w:rFonts w:ascii="Times New Roman" w:hAnsi="Times New Roman"/>
          <w:b w:val="false"/>
          <w:i w:val="false"/>
          <w:color w:val="000000"/>
          <w:sz w:val="24"/>
        </w:rPr>
        <w:t xml:space="preserve"> and other applicable penalties provided by law.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405.3(4)</w:t>
      </w:r>
      <w:r>
        <w:rPr>
          <w:rFonts w:ascii="Times New Roman" w:hAnsi="Times New Roman"/>
          <w:b w:val="false"/>
          <w:i w:val="false"/>
          <w:color w:val="000000"/>
          <w:sz w:val="24"/>
        </w:rPr>
        <w:t> </w:t>
      </w:r>
      <w:r>
        <w:rPr>
          <w:rFonts w:ascii="Times New Roman" w:hAnsi="Times New Roman"/>
          <w:b w:val="false"/>
          <w:i/>
          <w:color w:val="000000"/>
          <w:sz w:val="24"/>
        </w:rPr>
        <w:t xml:space="preserve">Payment of estimated composite return tax not required. </w:t>
      </w:r>
      <w:r>
        <w:rPr>
          <w:rFonts w:ascii="Times New Roman" w:hAnsi="Times New Roman"/>
          <w:b w:val="false"/>
          <w:i w:val="false"/>
          <w:color w:val="000000"/>
          <w:sz w:val="24"/>
        </w:rPr>
        <w:t>Pass-through entities are not required to make payments of estimated composite return tax. However, if a pass-through entity desires to make an estimated or other advance payment of composite return tax liability, the pass-through entity may do so electronically on GovConnectIowa or by sending a check with a voucher available on GovConnectIowa.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405.3(5)</w:t>
      </w:r>
      <w:r>
        <w:rPr>
          <w:rFonts w:ascii="Times New Roman" w:hAnsi="Times New Roman"/>
          <w:b w:val="false"/>
          <w:i w:val="false"/>
          <w:color w:val="000000"/>
          <w:sz w:val="24"/>
        </w:rPr>
        <w:t> </w:t>
      </w:r>
      <w:r>
        <w:rPr>
          <w:rFonts w:ascii="Times New Roman" w:hAnsi="Times New Roman"/>
          <w:b w:val="false"/>
          <w:i/>
          <w:color w:val="000000"/>
          <w:sz w:val="24"/>
        </w:rPr>
        <w:t xml:space="preserve">Amended composite returns—refund limitation.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pass-through entity becomes aware that information was erroneously stated on the composite return, including but not limited to information about the nonresident members, Iowa-source income, or composite return tax due, the pass-through entity shall file an amended composite return, except as otherwise provided in this subrule.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after filing an initial composite return for a tax year the pass-through entity is required to amend its Iowa income tax return in a manner that increases the amount of composite return tax due, or the pass-through entity discovers that nonresident members were erroneously excluded from the composite return, the pass-through entity shall file an amended composite return and pay the additional composite return tax that is due. Any additional composite return tax payment determined to be due after the filing of the initial composite return shall be made by the pass-through entity. An amended composite return and additional composite return tax payment is not required if the return changes are from a centralized partnership audit or an Iowa pass-through entity audit and included in a pass-through entity’s election to pay on its owners’ behalf pursuant to Iowa Code section </w:t>
      </w:r>
      <w:hyperlink r:id="rId20">
        <w:r>
          <w:rPr>
            <w:rStyle w:val="Hyperlink"/>
            <w:rFonts w:ascii="Times New Roman" w:hAnsi="Times New Roman"/>
            <w:b w:val="false"/>
            <w:i w:val="false"/>
            <w:color w:val="000000"/>
            <w:sz w:val="24"/>
          </w:rPr>
          <w:t>422.25A(5)</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after filing an initial composite return for a tax year the pass-through entity is required to amend its Iowa income tax return in a manner that only decreases the amount of Iowa-source income reportable to one or more nonresident owners, the pass-through entity is not required to file an amended composite return. A pass-through entity cannot request a refund of composite return tax paid on behalf of a nonresident member after the initial composite tax return has been filed. When composite return tax is paid by a pass-through entity on behalf of a nonresident member, it is then treated as paid by the nonresident member and any refund of an overpayment may only be requested by the nonresident member on that nonresident member’s own income, franchise, or composite return.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1">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701—405.4</w:t>
      </w:r>
      <w:r>
        <w:rPr>
          <w:rFonts w:ascii="Times New Roman" w:hAnsi="Times New Roman"/>
          <w:b/>
          <w:i w:val="false"/>
          <w:color w:val="000000"/>
          <w:sz w:val="24"/>
        </w:rPr>
        <w:t xml:space="preserve">(422) </w:t>
      </w:r>
      <w:r>
        <w:rPr>
          <w:rFonts w:ascii="Times New Roman" w:hAnsi="Times New Roman"/>
          <w:b/>
          <w:i w:val="false"/>
          <w:color w:val="000000"/>
          <w:sz w:val="24"/>
        </w:rPr>
        <w:t xml:space="preserve">Nonresident member determination. </w:t>
      </w:r>
      <w:r>
        <w:rPr>
          <w:rFonts w:ascii="Times New Roman" w:hAnsi="Times New Roman"/>
          <w:b w:val="false"/>
          <w:i w:val="false"/>
          <w:color w:val="000000"/>
          <w:sz w:val="24"/>
        </w:rPr>
        <w:t xml:space="preserve">The following rules shall apply in determining who is a nonresident member under Iowa Code section </w:t>
      </w:r>
      <w:hyperlink r:id="rId22">
        <w:r>
          <w:rPr>
            <w:rStyle w:val="Hyperlink"/>
            <w:rFonts w:ascii="Times New Roman" w:hAnsi="Times New Roman"/>
            <w:b w:val="false"/>
            <w:i w:val="false"/>
            <w:color w:val="000000"/>
            <w:sz w:val="24"/>
          </w:rPr>
          <w:t>422.16B(1)</w:t>
        </w:r>
      </w:hyperlink>
      <w:r>
        <w:rPr>
          <w:rFonts w:ascii="Times New Roman" w:hAnsi="Times New Roman"/>
          <w:b w:val="false"/>
          <w:i/>
          <w:color w:val="000000"/>
          <w:sz w:val="24"/>
        </w:rPr>
        <w:t>“a”</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405.4(1)</w:t>
      </w:r>
      <w:r>
        <w:rPr>
          <w:rFonts w:ascii="Times New Roman" w:hAnsi="Times New Roman"/>
          <w:b w:val="false"/>
          <w:i w:val="false"/>
          <w:color w:val="000000"/>
          <w:sz w:val="24"/>
        </w:rPr>
        <w:t> </w:t>
      </w:r>
      <w:r>
        <w:rPr>
          <w:rFonts w:ascii="Times New Roman" w:hAnsi="Times New Roman"/>
          <w:b w:val="false"/>
          <w:i w:val="false"/>
          <w:color w:val="000000"/>
          <w:sz w:val="24"/>
        </w:rPr>
        <w:t>A partner, shareholder, or beneficiary of a pass-through entity shall be considered a nonresident member if any of the following were true for the entire period of time that person was a partner, shareholder, or beneficiary during that pass-through entity’s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person is an individual and was a nonresident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a business entity and did not have a commercial domicile in Iowa as defined in Iowa Code section </w:t>
      </w:r>
      <w:hyperlink r:id="rId23">
        <w:r>
          <w:rPr>
            <w:rStyle w:val="Hyperlink"/>
            <w:rFonts w:ascii="Times New Roman" w:hAnsi="Times New Roman"/>
            <w:b w:val="false"/>
            <w:i w:val="false"/>
            <w:color w:val="000000"/>
            <w:sz w:val="24"/>
          </w:rPr>
          <w:t>422.32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person is an estate or trust and did not have a situs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405.4(2)</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partner, shareholder, or beneficiary whose state of residence, commercial domicile, or situs, as applicable, is not known by the pass-through entity shall be considered a nonresident member.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4">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701—405.5</w:t>
      </w:r>
      <w:r>
        <w:rPr>
          <w:rFonts w:ascii="Times New Roman" w:hAnsi="Times New Roman"/>
          <w:b/>
          <w:i w:val="false"/>
          <w:color w:val="000000"/>
          <w:sz w:val="24"/>
        </w:rPr>
        <w:t xml:space="preserve">(422) </w:t>
      </w:r>
      <w:r>
        <w:rPr>
          <w:rFonts w:ascii="Times New Roman" w:hAnsi="Times New Roman"/>
          <w:b/>
          <w:i w:val="false"/>
          <w:color w:val="000000"/>
          <w:sz w:val="24"/>
        </w:rPr>
        <w:t xml:space="preserve">Exceptions to the composite return requirement.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405.5(1)</w:t>
      </w:r>
      <w:r>
        <w:rPr>
          <w:rFonts w:ascii="Times New Roman" w:hAnsi="Times New Roman"/>
          <w:b w:val="false"/>
          <w:i w:val="false"/>
          <w:color w:val="000000"/>
          <w:sz w:val="24"/>
        </w:rPr>
        <w:t> </w:t>
      </w:r>
      <w:r>
        <w:rPr>
          <w:rFonts w:ascii="Times New Roman" w:hAnsi="Times New Roman"/>
          <w:b w:val="false"/>
          <w:i/>
          <w:color w:val="000000"/>
          <w:sz w:val="24"/>
        </w:rPr>
        <w:t xml:space="preserve">Filing and payment exceptions for pass-through entities. </w:t>
      </w:r>
      <w:r>
        <w:rPr>
          <w:rFonts w:ascii="Times New Roman" w:hAnsi="Times New Roman"/>
          <w:b w:val="false"/>
          <w:i w:val="false"/>
          <w:color w:val="000000"/>
          <w:sz w:val="24"/>
        </w:rPr>
        <w:t>Pass-through entities are not required to file a composite return or pay composite return tax if the entity meets any of the following conditions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pass-through entity is a publicly traded partnership that meets the requirements of Iowa Code section </w:t>
      </w:r>
      <w:hyperlink r:id="rId25">
        <w:r>
          <w:rPr>
            <w:rStyle w:val="Hyperlink"/>
            <w:rFonts w:ascii="Times New Roman" w:hAnsi="Times New Roman"/>
            <w:b w:val="false"/>
            <w:i w:val="false"/>
            <w:color w:val="000000"/>
            <w:sz w:val="24"/>
          </w:rPr>
          <w:t>422.16B(5)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pass-through entity is engaged in disaster or emergency-related work during a disaster response period and is not required to file a composite return as provided in Iowa Code section </w:t>
      </w:r>
      <w:hyperlink r:id="rId26">
        <w:r>
          <w:rPr>
            <w:rStyle w:val="Hyperlink"/>
            <w:rFonts w:ascii="Times New Roman" w:hAnsi="Times New Roman"/>
            <w:b w:val="false"/>
            <w:i w:val="false"/>
            <w:color w:val="000000"/>
            <w:sz w:val="24"/>
          </w:rPr>
          <w:t>29C.24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pass-through entity is prohibited under federal or state law from making distributions to members. This exception applies only for years in which distributions are prohibited under federal or state law. Contractual restrictions on distributions, such as loan covenants or organization documents, do not qualify an entity for this exception.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None of the pass-through entity’s nonresident members have a positive amount of Iowa-source income from the pass-through entity. This exception does not apply if any nonresident member has a positive amount of Iowa-source income from the pass-through entity, even if the nonresident member has elected out of the composite return pursuant to rule </w:t>
      </w:r>
      <w:hyperlink r:id="rId27">
        <w:r>
          <w:rPr>
            <w:rStyle w:val="Hyperlink"/>
            <w:rFonts w:ascii="Times New Roman" w:hAnsi="Times New Roman"/>
            <w:b w:val="false"/>
            <w:i w:val="false"/>
            <w:color w:val="000000"/>
            <w:sz w:val="24"/>
          </w:rPr>
          <w:t>701—405.6</w:t>
        </w:r>
      </w:hyperlink>
      <w:r>
        <w:rPr>
          <w:rFonts w:ascii="Times New Roman" w:hAnsi="Times New Roman"/>
          <w:b w:val="false"/>
          <w:i w:val="false"/>
          <w:color w:val="000000"/>
          <w:sz w:val="24"/>
        </w:rPr>
        <w:t>(422) and no composite return tax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pass-through entity meets one of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pass-through entity is a financial institution subject to the franchise tax under Iowa Code section </w:t>
      </w:r>
      <w:hyperlink r:id="rId28">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and files an Iowa franchise return for financial institutions (IA 1120F) required under Iowa Code section </w:t>
      </w:r>
      <w:hyperlink r:id="rId29">
        <w:r>
          <w:rPr>
            <w:rStyle w:val="Hyperlink"/>
            <w:rFonts w:ascii="Times New Roman" w:hAnsi="Times New Roman"/>
            <w:b w:val="false"/>
            <w:i w:val="false"/>
            <w:color w:val="000000"/>
            <w:sz w:val="24"/>
          </w:rPr>
          <w:t>422.62</w:t>
        </w:r>
      </w:hyperlink>
      <w:r>
        <w:rPr>
          <w:rFonts w:ascii="Times New Roman" w:hAnsi="Times New Roman"/>
          <w:b w:val="false"/>
          <w:i w:val="false"/>
          <w:color w:val="000000"/>
          <w:sz w:val="24"/>
        </w:rPr>
        <w:t xml:space="preserve"> and pays any franchise tax shown due on that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pass-through entity wholly owns one or more financial institutions subject to the franchise tax under Iowa Code section </w:t>
      </w:r>
      <w:hyperlink r:id="rId30">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that are treated as disregarded entities for federal and Iowa income tax purposes, substantially all (at least 90 percent) of the pass-through entity’s gross income for the tax year is also reportable income on those wholly owned financial institutions’ Iowa franchise return for financial institutions (IA 1120F) required under Iowa Code section </w:t>
      </w:r>
      <w:hyperlink r:id="rId31">
        <w:r>
          <w:rPr>
            <w:rStyle w:val="Hyperlink"/>
            <w:rFonts w:ascii="Times New Roman" w:hAnsi="Times New Roman"/>
            <w:b w:val="false"/>
            <w:i w:val="false"/>
            <w:color w:val="000000"/>
            <w:sz w:val="24"/>
          </w:rPr>
          <w:t>422.62</w:t>
        </w:r>
      </w:hyperlink>
      <w:r>
        <w:rPr>
          <w:rFonts w:ascii="Times New Roman" w:hAnsi="Times New Roman"/>
          <w:b w:val="false"/>
          <w:i w:val="false"/>
          <w:color w:val="000000"/>
          <w:sz w:val="24"/>
        </w:rPr>
        <w:t>, and those wholly owned financial institutions file their Iowa franchise return for financial institutions (IA 1120F) and pay any franchise tax shown due on that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405.5(2)</w:t>
      </w:r>
      <w:r>
        <w:rPr>
          <w:rFonts w:ascii="Times New Roman" w:hAnsi="Times New Roman"/>
          <w:b w:val="false"/>
          <w:i w:val="false"/>
          <w:color w:val="000000"/>
          <w:sz w:val="24"/>
        </w:rPr>
        <w:t> </w:t>
      </w:r>
      <w:r>
        <w:rPr>
          <w:rFonts w:ascii="Times New Roman" w:hAnsi="Times New Roman"/>
          <w:b w:val="false"/>
          <w:i/>
          <w:color w:val="000000"/>
          <w:sz w:val="24"/>
        </w:rPr>
        <w:t xml:space="preserve">Payment exceptions for nonresident members. </w:t>
      </w:r>
      <w:r>
        <w:rPr>
          <w:rFonts w:ascii="Times New Roman" w:hAnsi="Times New Roman"/>
          <w:b w:val="false"/>
          <w:i w:val="false"/>
          <w:color w:val="000000"/>
          <w:sz w:val="24"/>
        </w:rPr>
        <w:t>A pass-through entity is not required to pay composite return tax on behalf of a particular nonresident member if that nonresident member meets any of the following conditions for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is a publicly traded partnership that meets the requirements of Iowa Code section </w:t>
      </w:r>
      <w:hyperlink r:id="rId32">
        <w:r>
          <w:rPr>
            <w:rStyle w:val="Hyperlink"/>
            <w:rFonts w:ascii="Times New Roman" w:hAnsi="Times New Roman"/>
            <w:b w:val="false"/>
            <w:i w:val="false"/>
            <w:color w:val="000000"/>
            <w:sz w:val="24"/>
          </w:rPr>
          <w:t>422.16B(5)</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is exempt from Iowa income tax under Iowa Code section </w:t>
      </w:r>
      <w:hyperlink r:id="rId33">
        <w:r>
          <w:rPr>
            <w:rStyle w:val="Hyperlink"/>
            <w:rFonts w:ascii="Times New Roman" w:hAnsi="Times New Roman"/>
            <w:b w:val="false"/>
            <w:i w:val="false"/>
            <w:color w:val="000000"/>
            <w:sz w:val="24"/>
          </w:rPr>
          <w:t>422.34(2)</w:t>
        </w:r>
      </w:hyperlink>
      <w:r>
        <w:rPr>
          <w:rFonts w:ascii="Times New Roman" w:hAnsi="Times New Roman"/>
          <w:b w:val="false"/>
          <w:i w:val="false"/>
          <w:color w:val="000000"/>
          <w:sz w:val="24"/>
        </w:rPr>
        <w:t>, unless the Iowa-source income of the tax-exempt entity is unrelated business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is an insurance company exempt from Iowa income tax under Iowa Code section </w:t>
      </w:r>
      <w:hyperlink r:id="rId34">
        <w:r>
          <w:rPr>
            <w:rStyle w:val="Hyperlink"/>
            <w:rFonts w:ascii="Times New Roman" w:hAnsi="Times New Roman"/>
            <w:b w:val="false"/>
            <w:i w:val="false"/>
            <w:color w:val="000000"/>
            <w:sz w:val="24"/>
          </w:rPr>
          <w:t>422.34(1)</w:t>
        </w:r>
      </w:hyperlink>
      <w:r>
        <w:rPr>
          <w:rFonts w:ascii="Times New Roman" w:hAnsi="Times New Roman"/>
          <w:b w:val="false"/>
          <w:i w:val="false"/>
          <w:color w:val="000000"/>
          <w:sz w:val="24"/>
        </w:rPr>
        <w:t xml:space="preserve"> and instead subject to the insurance premiums tax under Iowa Code section </w:t>
      </w:r>
      <w:hyperlink r:id="rId35">
        <w:r>
          <w:rPr>
            <w:rStyle w:val="Hyperlink"/>
            <w:rFonts w:ascii="Times New Roman" w:hAnsi="Times New Roman"/>
            <w:b w:val="false"/>
            <w:i w:val="false"/>
            <w:color w:val="000000"/>
            <w:sz w:val="24"/>
          </w:rPr>
          <w:t>432.1</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432.2</w:t>
        </w:r>
      </w:hyperlink>
      <w:r>
        <w:rPr>
          <w:rFonts w:ascii="Times New Roman" w:hAnsi="Times New Roman"/>
          <w:b w:val="false"/>
          <w:i w:val="false"/>
          <w:color w:val="000000"/>
          <w:sz w:val="24"/>
        </w:rPr>
        <w:t xml:space="preserve">, </w:t>
      </w:r>
      <w:hyperlink r:id="rId37">
        <w:r>
          <w:rPr>
            <w:rStyle w:val="Hyperlink"/>
            <w:rFonts w:ascii="Times New Roman" w:hAnsi="Times New Roman"/>
            <w:b w:val="false"/>
            <w:i w:val="false"/>
            <w:color w:val="000000"/>
            <w:sz w:val="24"/>
          </w:rPr>
          <w:t>432A.1</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518.18</w:t>
        </w:r>
      </w:hyperlink>
      <w:r>
        <w:rPr>
          <w:rFonts w:ascii="Times New Roman" w:hAnsi="Times New Roman"/>
          <w:b w:val="false"/>
          <w:i w:val="false"/>
          <w:color w:val="000000"/>
          <w:sz w:val="24"/>
        </w:rPr>
        <w:t xml:space="preserve">, or </w:t>
      </w:r>
      <w:hyperlink r:id="rId39">
        <w:r>
          <w:rPr>
            <w:rStyle w:val="Hyperlink"/>
            <w:rFonts w:ascii="Times New Roman" w:hAnsi="Times New Roman"/>
            <w:b w:val="false"/>
            <w:i w:val="false"/>
            <w:color w:val="000000"/>
            <w:sz w:val="24"/>
          </w:rPr>
          <w:t>518A.35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and the pass-through entity complete and sign the Nonresident Member Composite Agreement form for the tax year as described in rule </w:t>
      </w:r>
      <w:hyperlink r:id="rId40">
        <w:r>
          <w:rPr>
            <w:rStyle w:val="Hyperlink"/>
            <w:rFonts w:ascii="Times New Roman" w:hAnsi="Times New Roman"/>
            <w:b w:val="false"/>
            <w:i w:val="false"/>
            <w:color w:val="000000"/>
            <w:sz w:val="24"/>
          </w:rPr>
          <w:t>701—405.6</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1">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701—405.6</w:t>
      </w:r>
      <w:r>
        <w:rPr>
          <w:rFonts w:ascii="Times New Roman" w:hAnsi="Times New Roman"/>
          <w:b/>
          <w:i w:val="false"/>
          <w:color w:val="000000"/>
          <w:sz w:val="24"/>
        </w:rPr>
        <w:t xml:space="preserve">(422) </w:t>
      </w:r>
      <w:r>
        <w:rPr>
          <w:rFonts w:ascii="Times New Roman" w:hAnsi="Times New Roman"/>
          <w:b/>
          <w:i w:val="false"/>
          <w:color w:val="000000"/>
          <w:sz w:val="24"/>
        </w:rPr>
        <w:t xml:space="preserve">Election out of the composite return tax requirement.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405.6(1)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 xml:space="preserve">A nonresident member may elect to be excluded from a pass-through entity’s composite return unless prohibited from doing so under subrule </w:t>
      </w:r>
      <w:hyperlink r:id="rId42">
        <w:r>
          <w:rPr>
            <w:rStyle w:val="Hyperlink"/>
            <w:rFonts w:ascii="Times New Roman" w:hAnsi="Times New Roman"/>
            <w:b w:val="false"/>
            <w:i w:val="false"/>
            <w:color w:val="000000"/>
            <w:sz w:val="24"/>
          </w:rPr>
          <w:t>405.6(2)</w:t>
        </w:r>
      </w:hyperlink>
      <w:r>
        <w:rPr>
          <w:rFonts w:ascii="Times New Roman" w:hAnsi="Times New Roman"/>
          <w:b w:val="false"/>
          <w:i w:val="false"/>
          <w:color w:val="000000"/>
          <w:sz w:val="24"/>
        </w:rPr>
        <w:t>. Electing out of the composite return only relieves the pass-through entity of the requirement to pay composite return tax on behalf of that nonresident member. It does not relieve the pass-through entity of the requirement to report that nonresident member on a composite return. For a nonresident member to be excluded from the composite return tax payment, both the nonresident member and the pass-through entity must complete and sign the Nonresident Member Composite Agreement prior to the pass-through entity’s composite return due date including extensions. The Nonresident Member Composite Agreement is available on the department’s website. The Nonresident Member Composite Agreement is only valid for the tax year for which it is executed, and a separate Nonresident Member Composite Agreement must be executed for each tax year in which the nonresident member seeks to be excluded from the composite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405.6(2)</w:t>
      </w:r>
      <w:r>
        <w:rPr>
          <w:rFonts w:ascii="Times New Roman" w:hAnsi="Times New Roman"/>
          <w:b w:val="false"/>
          <w:i w:val="false"/>
          <w:color w:val="000000"/>
          <w:sz w:val="24"/>
        </w:rPr>
        <w:t> </w:t>
      </w:r>
      <w:r>
        <w:rPr>
          <w:rFonts w:ascii="Times New Roman" w:hAnsi="Times New Roman"/>
          <w:b w:val="false"/>
          <w:i/>
          <w:color w:val="000000"/>
          <w:sz w:val="24"/>
        </w:rPr>
        <w:t xml:space="preserve">Circumstances in which a pass-through entity or nonresident member cannot elect out of the composite return requirement.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ability to elect out of the composite return is conditionally granted by the department based on the nonresident member’s promise to comply with the filing and payment requirements listed in subrule </w:t>
      </w:r>
      <w:hyperlink r:id="rId43">
        <w:r>
          <w:rPr>
            <w:rStyle w:val="Hyperlink"/>
            <w:rFonts w:ascii="Times New Roman" w:hAnsi="Times New Roman"/>
            <w:b w:val="false"/>
            <w:i w:val="false"/>
            <w:color w:val="000000"/>
            <w:sz w:val="24"/>
          </w:rPr>
          <w:t>405.6(3)</w:t>
        </w:r>
      </w:hyperlink>
      <w:r>
        <w:rPr>
          <w:rFonts w:ascii="Times New Roman" w:hAnsi="Times New Roman"/>
          <w:b w:val="false"/>
          <w:i w:val="false"/>
          <w:color w:val="000000"/>
          <w:sz w:val="24"/>
        </w:rPr>
        <w:t xml:space="preserve"> and the pass-through entity’s compliance with Iowa tax law.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information available to the department indicates that the pass-through entity has not complied with Iowa tax law, including but not limited to properly reporting or sourcing its income or other tax items within and without Iowa, the department may revoke the pass-through entity’s ability to enter into a Nonresident Member Composite Agreement with its nonresident members.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information available to the department indicates that a nonresident member has not complied with the filing and payment requirements listed in subrule </w:t>
      </w:r>
      <w:hyperlink r:id="rId44">
        <w:r>
          <w:rPr>
            <w:rStyle w:val="Hyperlink"/>
            <w:rFonts w:ascii="Times New Roman" w:hAnsi="Times New Roman"/>
            <w:b w:val="false"/>
            <w:i w:val="false"/>
            <w:color w:val="000000"/>
            <w:sz w:val="24"/>
          </w:rPr>
          <w:t>405.6(3)</w:t>
        </w:r>
      </w:hyperlink>
      <w:r>
        <w:rPr>
          <w:rFonts w:ascii="Times New Roman" w:hAnsi="Times New Roman"/>
          <w:b w:val="false"/>
          <w:i w:val="false"/>
          <w:color w:val="000000"/>
          <w:sz w:val="24"/>
        </w:rPr>
        <w:t xml:space="preserve">, the department may revoke the pass-through entity’s ability to enter into a Nonresident Member Composite Agreement with that particular nonresident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pass-through entity will be notified in writing of a revocation under paragraph </w:t>
      </w:r>
      <w:hyperlink r:id="rId45">
        <w:r>
          <w:rPr>
            <w:rStyle w:val="Hyperlink"/>
            <w:rFonts w:ascii="Times New Roman" w:hAnsi="Times New Roman"/>
            <w:b w:val="false"/>
            <w:i w:val="false"/>
            <w:color w:val="000000"/>
            <w:sz w:val="24"/>
          </w:rPr>
          <w:t>405.6(2)</w:t>
        </w:r>
        <w:r>
          <w:rPr>
            <w:rFonts w:ascii="Times New Roman" w:hAnsi="Times New Roman"/>
            <w:b w:val="false"/>
            <w:i/>
            <w:color w:val="000000"/>
            <w:sz w:val="24"/>
          </w:rPr>
          <w:t>“b”</w:t>
        </w:r>
      </w:hyperlink>
      <w:r>
        <w:rPr>
          <w:rFonts w:ascii="Times New Roman" w:hAnsi="Times New Roman"/>
          <w:b w:val="false"/>
          <w:i w:val="false"/>
          <w:color w:val="000000"/>
          <w:sz w:val="24"/>
        </w:rPr>
        <w:t xml:space="preserve"> or </w:t>
      </w:r>
      <w:hyperlink r:id="rId46">
        <w:r>
          <w:rPr>
            <w:rStyle w:val="Hyperlink"/>
            <w:rFonts w:ascii="Times New Roman" w:hAnsi="Times New Roman"/>
            <w:b w:val="false"/>
            <w:i w:val="false"/>
            <w:color w:val="000000"/>
            <w:sz w:val="24"/>
          </w:rPr>
          <w:t/>
        </w:r>
        <w:r>
          <w:rPr>
            <w:rFonts w:ascii="Times New Roman" w:hAnsi="Times New Roman"/>
            <w:b w:val="false"/>
            <w:i/>
            <w:color w:val="000000"/>
            <w:sz w:val="24"/>
          </w:rPr>
          <w:t>“c,”</w:t>
        </w:r>
      </w:hyperlink>
      <w:r>
        <w:rPr>
          <w:rFonts w:ascii="Times New Roman" w:hAnsi="Times New Roman"/>
          <w:b w:val="false"/>
          <w:i w:val="false"/>
          <w:color w:val="000000"/>
          <w:sz w:val="24"/>
        </w:rPr>
        <w:t xml:space="preserve"> and such revocation will take effect 30 days following the date on the revocation letter. The revocation will not affect any Nonresident Member Composite Agreement entered into prior to the effective date of the revocation. After such revocation, a pass-through entity will not be allowed to enter into a Nonresident Member Composite Agreement with the affected nonresident members without written permission from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405.6(3)</w:t>
      </w:r>
      <w:r>
        <w:rPr>
          <w:rFonts w:ascii="Times New Roman" w:hAnsi="Times New Roman"/>
          <w:b w:val="false"/>
          <w:i w:val="false"/>
          <w:color w:val="000000"/>
          <w:sz w:val="24"/>
        </w:rPr>
        <w:t> </w:t>
      </w:r>
      <w:r>
        <w:rPr>
          <w:rFonts w:ascii="Times New Roman" w:hAnsi="Times New Roman"/>
          <w:b w:val="false"/>
          <w:i/>
          <w:color w:val="000000"/>
          <w:sz w:val="24"/>
        </w:rPr>
        <w:t xml:space="preserve">Filing and payment requirements for a nonresident member electing out of composite return requirement. </w:t>
      </w:r>
      <w:r>
        <w:rPr>
          <w:rFonts w:ascii="Times New Roman" w:hAnsi="Times New Roman"/>
          <w:b w:val="false"/>
          <w:i w:val="false"/>
          <w:color w:val="000000"/>
          <w:sz w:val="24"/>
        </w:rPr>
        <w:t>To elect out of the composite return requirement, a nonresident member must agree to all of the following in the Nonresident Member Composite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files an Iowa income or franchise tax return, unless such return is subject to a filing threshold and the nonresident member falls below that threshold and is not required to file.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timely pays all Iowa income or franchise tax related to the nonresident member’s distributive share of Iowa-source income from the pass-through entity, including, if applicable, estimated tax payments and composite return tax 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nonresident member acknowledges that the nonresident member is subject to personal jurisdiction in Iowa for the collection of Iowa income or franchise tax liability.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405.6(4)</w:t>
      </w:r>
      <w:r>
        <w:rPr>
          <w:rFonts w:ascii="Times New Roman" w:hAnsi="Times New Roman"/>
          <w:b w:val="false"/>
          <w:i w:val="false"/>
          <w:color w:val="000000"/>
          <w:sz w:val="24"/>
        </w:rPr>
        <w:t> </w:t>
      </w:r>
      <w:r>
        <w:rPr>
          <w:rFonts w:ascii="Times New Roman" w:hAnsi="Times New Roman"/>
          <w:b w:val="false"/>
          <w:i/>
          <w:color w:val="000000"/>
          <w:sz w:val="24"/>
        </w:rPr>
        <w:t xml:space="preserve">Retention of records. </w:t>
      </w:r>
      <w:r>
        <w:rPr>
          <w:rFonts w:ascii="Times New Roman" w:hAnsi="Times New Roman"/>
          <w:b w:val="false"/>
          <w:i w:val="false"/>
          <w:color w:val="000000"/>
          <w:sz w:val="24"/>
        </w:rPr>
        <w:t>The signed Nonresident Member Composite Agreement is not required to be submitted with the composite return but shall be retained by the pass-through entity and submitted to the department upon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405.6(5)</w:t>
      </w:r>
      <w:r>
        <w:rPr>
          <w:rFonts w:ascii="Times New Roman" w:hAnsi="Times New Roman"/>
          <w:b w:val="false"/>
          <w:i w:val="false"/>
          <w:color w:val="000000"/>
          <w:sz w:val="24"/>
        </w:rPr>
        <w:t> </w:t>
      </w:r>
      <w:r>
        <w:rPr>
          <w:rFonts w:ascii="Times New Roman" w:hAnsi="Times New Roman"/>
          <w:b w:val="false"/>
          <w:i/>
          <w:color w:val="000000"/>
          <w:sz w:val="24"/>
        </w:rPr>
        <w:t xml:space="preserve">Liability for unpaid tax, penalty, and interest for a nonresident member electing out of the composite return requirement. </w:t>
      </w:r>
      <w:r>
        <w:rPr>
          <w:rFonts w:ascii="Times New Roman" w:hAnsi="Times New Roman"/>
          <w:b w:val="false"/>
          <w:i w:val="false"/>
          <w:color w:val="000000"/>
          <w:sz w:val="24"/>
        </w:rPr>
        <w:t xml:space="preserve">A pass-through entity that enters into a Nonresident Member Composite Agreement with a nonresident member will remain jointly and severally liable for any unpaid composite return tax, penalty, and interest attributable to the electing nonresident member’s distributive share of Iowa-source income from the pass-through entity. If the department determines that a nonresident member has failed to comply with the tax filing and payment requirements agreed to in subrule </w:t>
      </w:r>
      <w:hyperlink r:id="rId47">
        <w:r>
          <w:rPr>
            <w:rStyle w:val="Hyperlink"/>
            <w:rFonts w:ascii="Times New Roman" w:hAnsi="Times New Roman"/>
            <w:b w:val="false"/>
            <w:i w:val="false"/>
            <w:color w:val="000000"/>
            <w:sz w:val="24"/>
          </w:rPr>
          <w:t>405.6(3)</w:t>
        </w:r>
      </w:hyperlink>
      <w:r>
        <w:rPr>
          <w:rFonts w:ascii="Times New Roman" w:hAnsi="Times New Roman"/>
          <w:b w:val="false"/>
          <w:i w:val="false"/>
          <w:color w:val="000000"/>
          <w:sz w:val="24"/>
        </w:rPr>
        <w:t>, it may collect the unpaid composite return tax, penalty, and interest directly from the pass-through entity.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8">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701—405.7</w:t>
      </w:r>
      <w:r>
        <w:rPr>
          <w:rFonts w:ascii="Times New Roman" w:hAnsi="Times New Roman"/>
          <w:b/>
          <w:i w:val="false"/>
          <w:color w:val="000000"/>
          <w:sz w:val="24"/>
        </w:rPr>
        <w:t xml:space="preserve">(422) </w:t>
      </w:r>
      <w:r>
        <w:rPr>
          <w:rFonts w:ascii="Times New Roman" w:hAnsi="Times New Roman"/>
          <w:b/>
          <w:i w:val="false"/>
          <w:color w:val="000000"/>
          <w:sz w:val="24"/>
        </w:rPr>
        <w:t xml:space="preserve">Determination of composite return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405.7(1)</w:t>
      </w:r>
      <w:r>
        <w:rPr>
          <w:rFonts w:ascii="Times New Roman" w:hAnsi="Times New Roman"/>
          <w:b w:val="false"/>
          <w:i w:val="false"/>
          <w:color w:val="000000"/>
          <w:sz w:val="24"/>
        </w:rPr>
        <w:t> </w:t>
      </w:r>
      <w:r>
        <w:rPr>
          <w:rFonts w:ascii="Times New Roman" w:hAnsi="Times New Roman"/>
          <w:b w:val="false"/>
          <w:i w:val="false"/>
          <w:color w:val="000000"/>
          <w:sz w:val="24"/>
        </w:rPr>
        <w:t>Each nonresident member’s distributive share of Iowa-source income from the pass-through entity shall be determined at the entity level in accordance with the Iowa statutes, administrative rules, and tax forms applicable to the pass-through entity’s tax type, including provisions related to the allocation and apportionment of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405.7(2)</w:t>
      </w:r>
      <w:r>
        <w:rPr>
          <w:rFonts w:ascii="Times New Roman" w:hAnsi="Times New Roman"/>
          <w:b w:val="false"/>
          <w:i w:val="false"/>
          <w:color w:val="000000"/>
          <w:sz w:val="24"/>
        </w:rPr>
        <w:t> </w:t>
      </w:r>
      <w:r>
        <w:rPr>
          <w:rFonts w:ascii="Times New Roman" w:hAnsi="Times New Roman"/>
          <w:b w:val="false"/>
          <w:i w:val="false"/>
          <w:color w:val="000000"/>
          <w:sz w:val="24"/>
        </w:rPr>
        <w:t>A partner’s Iowa-source income includes the amount of nonseparately stated income, separately stated income including guaranteed payments, and separately stated deductions, attributable to Iowa as properly reported on the partner’s IA 1065 Schedule K-1. A shareholder’s Iowa-source income includes the amount of nonseparately stated income, separately stated income, and separately stated deductions, attributable to Iowa as properly reported on the shareholder’s IA 1120S Schedule K-1. A beneficiary’s Iowa-source income includes the amount of distributable net income attributable to Iowa as properly reported on the beneficiary’s IA 1041 Schedule K-1.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405.7(3)</w:t>
      </w:r>
      <w:r>
        <w:rPr>
          <w:rFonts w:ascii="Times New Roman" w:hAnsi="Times New Roman"/>
          <w:b w:val="false"/>
          <w:i w:val="false"/>
          <w:color w:val="000000"/>
          <w:sz w:val="24"/>
        </w:rPr>
        <w:t> </w:t>
      </w:r>
      <w:r>
        <w:rPr>
          <w:rFonts w:ascii="Times New Roman" w:hAnsi="Times New Roman"/>
          <w:b w:val="false"/>
          <w:i w:val="false"/>
          <w:color w:val="000000"/>
          <w:sz w:val="24"/>
        </w:rPr>
        <w:t>No net operating loss or other owner-level tax attribute modification, or reduction for Iowa tax credits, is allowed in the computation of each nonresident member’s Iowa-source income for purposes of the composite return. To claim an owner-level tax attribute modification, or an Iowa tax credit, the nonresident member must file the nonresident member’s own Iowa tax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405.7(4)</w:t>
      </w:r>
      <w:r>
        <w:rPr>
          <w:rFonts w:ascii="Times New Roman" w:hAnsi="Times New Roman"/>
          <w:b w:val="false"/>
          <w:i w:val="false"/>
          <w:color w:val="000000"/>
          <w:sz w:val="24"/>
        </w:rPr>
        <w:t> </w:t>
      </w:r>
      <w:r>
        <w:rPr>
          <w:rFonts w:ascii="Times New Roman" w:hAnsi="Times New Roman"/>
          <w:b w:val="false"/>
          <w:i w:val="false"/>
          <w:color w:val="000000"/>
          <w:sz w:val="24"/>
        </w:rPr>
        <w:t>If a nonresident member’s Iowa-source income is a loss, that loss cannot be netted against the Iowa-source income of another nonresident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405.7(5)</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composite return tax for each nonresident member is computed by multiplying the nonresident member’s Iowa-source income, if positive, by the highest tax rate applicable to that nonresident member. C corporations, or tax-exempt entities with unrelated business income, will be taxed at the highest corporate tax rate in Iowa Code section </w:t>
      </w:r>
      <w:hyperlink r:id="rId49">
        <w:r>
          <w:rPr>
            <w:rStyle w:val="Hyperlink"/>
            <w:rFonts w:ascii="Times New Roman" w:hAnsi="Times New Roman"/>
            <w:b w:val="false"/>
            <w:i w:val="false"/>
            <w:color w:val="000000"/>
            <w:sz w:val="24"/>
          </w:rPr>
          <w:t>422.33</w:t>
        </w:r>
      </w:hyperlink>
      <w:r>
        <w:rPr>
          <w:rFonts w:ascii="Times New Roman" w:hAnsi="Times New Roman"/>
          <w:b w:val="false"/>
          <w:i w:val="false"/>
          <w:color w:val="000000"/>
          <w:sz w:val="24"/>
        </w:rPr>
        <w:t xml:space="preserve">. Financial institutions will be taxed at the franchise tax rate in Iowa Code section </w:t>
      </w:r>
      <w:hyperlink r:id="rId50">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 xml:space="preserve">. Individuals, estates, trusts, partnerships, and S corporations (except those subject to the franchise tax) will be taxed at the individual tax rate in Iowa Code section </w:t>
      </w:r>
      <w:hyperlink r:id="rId51">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The sum of the composite return tax for all nonresident members is the pass-through entity’s total composite return tax liability.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2">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701—405.8</w:t>
      </w:r>
      <w:r>
        <w:rPr>
          <w:rFonts w:ascii="Times New Roman" w:hAnsi="Times New Roman"/>
          <w:b/>
          <w:i w:val="false"/>
          <w:color w:val="000000"/>
          <w:sz w:val="24"/>
        </w:rPr>
        <w:t xml:space="preserve">(422) </w:t>
      </w:r>
      <w:r>
        <w:rPr>
          <w:rFonts w:ascii="Times New Roman" w:hAnsi="Times New Roman"/>
          <w:b/>
          <w:i w:val="false"/>
          <w:color w:val="000000"/>
          <w:sz w:val="24"/>
        </w:rPr>
        <w:t xml:space="preserve">Filing for nonresident members—composite tax credits.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405.8(1)</w:t>
      </w:r>
      <w:r>
        <w:rPr>
          <w:rFonts w:ascii="Times New Roman" w:hAnsi="Times New Roman"/>
          <w:b w:val="false"/>
          <w:i w:val="false"/>
          <w:color w:val="000000"/>
          <w:sz w:val="24"/>
        </w:rPr>
        <w:t> </w:t>
      </w:r>
      <w:r>
        <w:rPr>
          <w:rFonts w:ascii="Times New Roman" w:hAnsi="Times New Roman"/>
          <w:b w:val="false"/>
          <w:i/>
          <w:color w:val="000000"/>
          <w:sz w:val="24"/>
        </w:rPr>
        <w:t xml:space="preserve">In general. </w:t>
      </w:r>
      <w:r>
        <w:rPr>
          <w:rFonts w:ascii="Times New Roman" w:hAnsi="Times New Roman"/>
          <w:b w:val="false"/>
          <w:i w:val="false"/>
          <w:color w:val="000000"/>
          <w:sz w:val="24"/>
        </w:rPr>
        <w:t xml:space="preserve">Nonresident members included on a pass-through entity’s composite return may still have an Iowa return filing requirement. The nonresident member shall receive a refundable composite tax credit for the composite return tax paid on the nonresident member’s behalf by the pass-through entity. The nonresident member’s composite tax credit shall be claimed for the same tax year that the nonresident member’s Iowa-source income from the pass-through entity is required to be reported on the nonresident member’s Iowa income or franchise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405.8(2)</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member—partnership. </w:t>
      </w:r>
      <w:r>
        <w:rPr>
          <w:rFonts w:ascii="Times New Roman" w:hAnsi="Times New Roman"/>
          <w:b w:val="false"/>
          <w:i w:val="false"/>
          <w:color w:val="000000"/>
          <w:sz w:val="24"/>
        </w:rPr>
        <w:t xml:space="preserve">A nonresident member that is a partnership is required to file the Iowa partnership return (IA 1065). The partnership is also subject to the composite return requirements if it has one or more nonresident members for any period of time during the tax year or if it desires to claim a composite tax credit it received from another pass-through entity. The partnership can claim its composite tax credit on its partnership return or its composite return. Subrule </w:t>
      </w:r>
      <w:hyperlink r:id="rId53">
        <w:r>
          <w:rPr>
            <w:rStyle w:val="Hyperlink"/>
            <w:rFonts w:ascii="Times New Roman" w:hAnsi="Times New Roman"/>
            <w:b w:val="false"/>
            <w:i w:val="false"/>
            <w:color w:val="000000"/>
            <w:sz w:val="24"/>
          </w:rPr>
          <w:t>405.8(4)</w:t>
        </w:r>
      </w:hyperlink>
      <w:r>
        <w:rPr>
          <w:rFonts w:ascii="Times New Roman" w:hAnsi="Times New Roman"/>
          <w:b w:val="false"/>
          <w:i w:val="false"/>
          <w:color w:val="000000"/>
          <w:sz w:val="24"/>
        </w:rPr>
        <w:t xml:space="preserve"> contains information related to financial institutions organized as pass-through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405.8(3)</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member—S corporation. </w:t>
      </w:r>
      <w:r>
        <w:rPr>
          <w:rFonts w:ascii="Times New Roman" w:hAnsi="Times New Roman"/>
          <w:b w:val="false"/>
          <w:i w:val="false"/>
          <w:color w:val="000000"/>
          <w:sz w:val="24"/>
        </w:rPr>
        <w:t xml:space="preserve">A nonresident member that is an S corporation is required to file the Iowa income tax return for S corporations (IA 1120S). The S corporation is also subject to the composite return requirements if it has one or more nonresident members for any period of time during the tax year or if it desires to claim a composite tax credit it received from another pass-through entity. The S corporation can claim its composite tax credit on its S corporation return or its composite return. Subrule </w:t>
      </w:r>
      <w:hyperlink r:id="rId54">
        <w:r>
          <w:rPr>
            <w:rStyle w:val="Hyperlink"/>
            <w:rFonts w:ascii="Times New Roman" w:hAnsi="Times New Roman"/>
            <w:b w:val="false"/>
            <w:i w:val="false"/>
            <w:color w:val="000000"/>
            <w:sz w:val="24"/>
          </w:rPr>
          <w:t>405.8(4)</w:t>
        </w:r>
      </w:hyperlink>
      <w:r>
        <w:rPr>
          <w:rFonts w:ascii="Times New Roman" w:hAnsi="Times New Roman"/>
          <w:b w:val="false"/>
          <w:i w:val="false"/>
          <w:color w:val="000000"/>
          <w:sz w:val="24"/>
        </w:rPr>
        <w:t xml:space="preserve"> contains information related to financial institutions organized as pass-through entities.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405.8(4)</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member—financial institution.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nonresident member that is a financial institution as defined in Iowa Code section </w:t>
      </w:r>
      <w:hyperlink r:id="rId55">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 xml:space="preserve"> is required to file the Iowa franchise return for financial institutions (IA 1120F). The financial institution can claim its composite tax credit on its Iowa franchise return for financial institutions (IA 1120F).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nonresident financial institution is organized as a pass-through entity, it is also required to file the Iowa partnership return (IA 1065) or the Iowa income tax return for S corporations (IA 1120S), as applicable. The financial institution may claim its composite tax credit on its Iowa franchise return for financial institutions (IA 1120F) or its composite return.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405.8(5)</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member—C corporation or tax-exempt entity. </w:t>
      </w:r>
      <w:r>
        <w:rPr>
          <w:rFonts w:ascii="Times New Roman" w:hAnsi="Times New Roman"/>
          <w:b w:val="false"/>
          <w:i w:val="false"/>
          <w:color w:val="000000"/>
          <w:sz w:val="24"/>
        </w:rPr>
        <w:t xml:space="preserve">A nonresident member that is a C corporation, or a tax-exempt entity with unrelated business income, is required to file the Iowa corporation income tax return (IA 1120). The entity can claim its composite tax credit on its Iowa corporation income tax return (IA 1120).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405.8(6)</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member—estate or trust. </w:t>
      </w:r>
      <w:r>
        <w:rPr>
          <w:rFonts w:ascii="Times New Roman" w:hAnsi="Times New Roman"/>
          <w:b w:val="false"/>
          <w:i w:val="false"/>
          <w:color w:val="000000"/>
          <w:sz w:val="24"/>
        </w:rPr>
        <w:t xml:space="preserve">A nonresident member that is an estate or trust is required to file the Iowa fiduciary return (IA 1041) unless the estate’s or trust’s taxable income is below the Iowa return filing threshold in Iowa Code section </w:t>
      </w:r>
      <w:hyperlink r:id="rId56">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The estate or trust is also subject to the composite return requirement if its taxable income is above the Iowa return filing threshold in Iowa Code section </w:t>
      </w:r>
      <w:hyperlink r:id="rId57">
        <w:r>
          <w:rPr>
            <w:rStyle w:val="Hyperlink"/>
            <w:rFonts w:ascii="Times New Roman" w:hAnsi="Times New Roman"/>
            <w:b w:val="false"/>
            <w:i w:val="false"/>
            <w:color w:val="000000"/>
            <w:sz w:val="24"/>
          </w:rPr>
          <w:t>422.14</w:t>
        </w:r>
      </w:hyperlink>
      <w:r>
        <w:rPr>
          <w:rFonts w:ascii="Times New Roman" w:hAnsi="Times New Roman"/>
          <w:b w:val="false"/>
          <w:i w:val="false"/>
          <w:color w:val="000000"/>
          <w:sz w:val="24"/>
        </w:rPr>
        <w:t xml:space="preserve"> and if it has one or more nonresident members for any period of time during the tax year. The estate or trust may claim its composite tax credit on its Iowa fiduciary return (IA 1041) or its composite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405.8(7)</w:t>
      </w:r>
      <w:r>
        <w:rPr>
          <w:rFonts w:ascii="Times New Roman" w:hAnsi="Times New Roman"/>
          <w:b w:val="false"/>
          <w:i w:val="false"/>
          <w:color w:val="000000"/>
          <w:sz w:val="24"/>
        </w:rPr>
        <w:t> </w:t>
      </w:r>
      <w:r>
        <w:rPr>
          <w:rFonts w:ascii="Times New Roman" w:hAnsi="Times New Roman"/>
          <w:b w:val="false"/>
          <w:i/>
          <w:color w:val="000000"/>
          <w:sz w:val="24"/>
        </w:rPr>
        <w:t xml:space="preserve">Nonresident member—individuals. </w:t>
      </w:r>
      <w:r>
        <w:rPr>
          <w:rFonts w:ascii="Times New Roman" w:hAnsi="Times New Roman"/>
          <w:b w:val="false"/>
          <w:i w:val="false"/>
          <w:color w:val="000000"/>
          <w:sz w:val="24"/>
        </w:rPr>
        <w:t xml:space="preserve">A nonresident member that is an individual is required to file the Iowa individual income tax return (IA 1040) unless the individual’s income is below the Iowa return filing threshold in Iowa Code section </w:t>
      </w:r>
      <w:hyperlink r:id="rId58">
        <w:r>
          <w:rPr>
            <w:rStyle w:val="Hyperlink"/>
            <w:rFonts w:ascii="Times New Roman" w:hAnsi="Times New Roman"/>
            <w:b w:val="false"/>
            <w:i w:val="false"/>
            <w:color w:val="000000"/>
            <w:sz w:val="24"/>
          </w:rPr>
          <w:t>422.13</w:t>
        </w:r>
      </w:hyperlink>
      <w:r>
        <w:rPr>
          <w:rFonts w:ascii="Times New Roman" w:hAnsi="Times New Roman"/>
          <w:b w:val="false"/>
          <w:i w:val="false"/>
          <w:color w:val="000000"/>
          <w:sz w:val="24"/>
        </w:rPr>
        <w:t xml:space="preserve">, or unless the individual’s distributive share of pass-through entity income included on one or more composite returns is the individual’s only Iowa-source income. The individual can claim the composite tax credit on the individual’s Iowa individual income tax return (IA 1040).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9">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701—405.9</w:t>
      </w:r>
      <w:r>
        <w:rPr>
          <w:rFonts w:ascii="Times New Roman" w:hAnsi="Times New Roman"/>
          <w:b/>
          <w:i w:val="false"/>
          <w:color w:val="000000"/>
          <w:sz w:val="24"/>
        </w:rPr>
        <w:t xml:space="preserve">(422) </w:t>
      </w:r>
      <w:r>
        <w:rPr>
          <w:rFonts w:ascii="Times New Roman" w:hAnsi="Times New Roman"/>
          <w:b/>
          <w:i w:val="false"/>
          <w:color w:val="000000"/>
          <w:sz w:val="24"/>
        </w:rPr>
        <w:t xml:space="preserve">Composite returns for nonresidents who are not members of a pass-through entity.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405.9(1)</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require that a composite return be filed under this chapter for nonresidents who are not members of a pass-through entity. The requirement may be set forth in this chapter for a category of persons or may be made directly in writing by the department to a specific person.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405.9(2)</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person who is not required to file a composite return under this chapter desires to do so for a group of nonresidents, the person shall request and receive permission from the department before filing the composite return. In order to be a valid request, the request must be in writing and must include sufficient information about the person making the request, the nonresidents to be included in the composite return, and the reason for filing on a composite return basis to enable the department to evaluate the request and make a determination. Once a valid request is received, the department may request additional information. Written requests shall be mailed to Policy Bureau, Research and Policy Division, Iowa Department of Revenue, P.O. Box 14467, Des Moines, Iowa 50306-3467.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0">
        <w:r>
          <w:rPr>
            <w:rStyle w:val="Hyperlink"/>
            <w:rFonts w:ascii="Times New Roman" w:hAnsi="Times New Roman"/>
            <w:b w:val="false"/>
            <w:i w:val="false"/>
            <w:color w:val="000000"/>
            <w:sz w:val="24"/>
          </w:rPr>
          <w:t>422.16B</w:t>
        </w:r>
      </w:hyperlink>
      <w:r>
        <w:rPr>
          <w:rFonts w:ascii="Times New Roman" w:hAnsi="Times New Roman"/>
          <w:b w:val="false"/>
          <w:i w:val="false"/>
          <w:color w:val="000000"/>
          <w:sz w:val="24"/>
        </w:rPr>
        <w:t>.</w:t>
      </w:r>
    </w:p>
    <w:sectPr>
      <w:footerReference r:id="rId6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tiana.slaney@iowa.gov" Type="http://schemas.openxmlformats.org/officeDocument/2006/relationships/hyperlink" Id="rId5"/>
    <Relationship TargetMode="External" Target="https://www.legis.iowa.gov/docs/iac/rule/701.405.5.pdf" Type="http://schemas.openxmlformats.org/officeDocument/2006/relationships/hyperlink" Id="rId6"/>
    <Relationship TargetMode="External" Target="https://www.legis.iowa.gov/docs/ico/chapter/422.16B.pdf" Type="http://schemas.openxmlformats.org/officeDocument/2006/relationships/hyperlink" Id="rId7"/>
    <Relationship TargetMode="External" Target="https://www.legis.iowa.gov/docs/ico/chapter/422.16B.pdf" Type="http://schemas.openxmlformats.org/officeDocument/2006/relationships/hyperlink" Id="rId8"/>
    <Relationship TargetMode="External" Target="https://www.legis.iowa.gov/docs/ico/chapter/422.16B.pdf" Type="http://schemas.openxmlformats.org/officeDocument/2006/relationships/hyperlink" Id="rId9"/>
    <Relationship TargetMode="External" Target="https://www.legis.iowa.gov/docs/iac/rule/701.405.5.pdf" Type="http://schemas.openxmlformats.org/officeDocument/2006/relationships/hyperlink" Id="rId10"/>
    <Relationship TargetMode="External" Target="https://www.legis.iowa.gov/docs/iac/rule/701.405.5.pdf" Type="http://schemas.openxmlformats.org/officeDocument/2006/relationships/hyperlink" Id="rId11"/>
    <Relationship TargetMode="External" Target="https://www.legis.iowa.gov/docs/iac/rule/701.405.6.pdf" Type="http://schemas.openxmlformats.org/officeDocument/2006/relationships/hyperlink" Id="rId12"/>
    <Relationship TargetMode="External" Target="https://www.legis.iowa.gov/docs/ico/chapter/422.14.pdf" Type="http://schemas.openxmlformats.org/officeDocument/2006/relationships/hyperlink" Id="rId13"/>
    <Relationship TargetMode="External" Target="https://www.legis.iowa.gov/docs/ico/chapter/422.15.pdf" Type="http://schemas.openxmlformats.org/officeDocument/2006/relationships/hyperlink" Id="rId14"/>
    <Relationship TargetMode="External" Target="https://www.legis.iowa.gov/docs/ico/chapter/422.36.pdf" Type="http://schemas.openxmlformats.org/officeDocument/2006/relationships/hyperlink" Id="rId15"/>
    <Relationship TargetMode="External" Target="https://www.legis.iowa.gov/docs/iac/rule/701.8.7.pdf" Type="http://schemas.openxmlformats.org/officeDocument/2006/relationships/hyperlink" Id="rId16"/>
    <Relationship TargetMode="External" Target="https://www.legis.iowa.gov/docs/ico/chapter/421.27.pdf" Type="http://schemas.openxmlformats.org/officeDocument/2006/relationships/hyperlink" Id="rId17"/>
    <Relationship TargetMode="External" Target="https://www.legis.iowa.gov/docs/iac/rule/701.405.3.pdf" Type="http://schemas.openxmlformats.org/officeDocument/2006/relationships/hyperlink" Id="rId18"/>
    <Relationship TargetMode="External" Target="https://www.legis.iowa.gov/docs/ico/chapter/421.27.pdf" Type="http://schemas.openxmlformats.org/officeDocument/2006/relationships/hyperlink" Id="rId19"/>
    <Relationship TargetMode="External" Target="https://www.legis.iowa.gov/docs/ico/chapter/422.25A.pdf" Type="http://schemas.openxmlformats.org/officeDocument/2006/relationships/hyperlink" Id="rId20"/>
    <Relationship TargetMode="External" Target="https://www.legis.iowa.gov/docs/ico/chapter/422.16B.pdf" Type="http://schemas.openxmlformats.org/officeDocument/2006/relationships/hyperlink" Id="rId21"/>
    <Relationship TargetMode="External" Target="https://www.legis.iowa.gov/docs/ico/chapter/422.16B.pdf" Type="http://schemas.openxmlformats.org/officeDocument/2006/relationships/hyperlink" Id="rId22"/>
    <Relationship TargetMode="External" Target="https://www.legis.iowa.gov/docs/ico/chapter/422.32.pdf" Type="http://schemas.openxmlformats.org/officeDocument/2006/relationships/hyperlink" Id="rId23"/>
    <Relationship TargetMode="External" Target="https://www.legis.iowa.gov/docs/ico/chapter/422.16B.pdf" Type="http://schemas.openxmlformats.org/officeDocument/2006/relationships/hyperlink" Id="rId24"/>
    <Relationship TargetMode="External" Target="https://www.legis.iowa.gov/docs/ico/chapter/422.16B.pdf" Type="http://schemas.openxmlformats.org/officeDocument/2006/relationships/hyperlink" Id="rId25"/>
    <Relationship TargetMode="External" Target="https://www.legis.iowa.gov/docs/ico/chapter/29C.24.pdf" Type="http://schemas.openxmlformats.org/officeDocument/2006/relationships/hyperlink" Id="rId26"/>
    <Relationship TargetMode="External" Target="https://www.legis.iowa.gov/docs/iac/rule/701.405.6.pdf" Type="http://schemas.openxmlformats.org/officeDocument/2006/relationships/hyperlink" Id="rId27"/>
    <Relationship TargetMode="External" Target="https://www.legis.iowa.gov/docs/ico/chapter/422.60.pdf" Type="http://schemas.openxmlformats.org/officeDocument/2006/relationships/hyperlink" Id="rId28"/>
    <Relationship TargetMode="External" Target="https://www.legis.iowa.gov/docs/ico/chapter/422.62.pdf" Type="http://schemas.openxmlformats.org/officeDocument/2006/relationships/hyperlink" Id="rId29"/>
    <Relationship TargetMode="External" Target="https://www.legis.iowa.gov/docs/ico/chapter/422.60.pdf" Type="http://schemas.openxmlformats.org/officeDocument/2006/relationships/hyperlink" Id="rId30"/>
    <Relationship TargetMode="External" Target="https://www.legis.iowa.gov/docs/ico/chapter/422.62.pdf" Type="http://schemas.openxmlformats.org/officeDocument/2006/relationships/hyperlink" Id="rId31"/>
    <Relationship TargetMode="External" Target="https://www.legis.iowa.gov/docs/ico/chapter/422.16B.pdf" Type="http://schemas.openxmlformats.org/officeDocument/2006/relationships/hyperlink" Id="rId32"/>
    <Relationship TargetMode="External" Target="https://www.legis.iowa.gov/docs/ico/chapter/422.34.pdf" Type="http://schemas.openxmlformats.org/officeDocument/2006/relationships/hyperlink" Id="rId33"/>
    <Relationship TargetMode="External" Target="https://www.legis.iowa.gov/docs/ico/chapter/422.34.pdf" Type="http://schemas.openxmlformats.org/officeDocument/2006/relationships/hyperlink" Id="rId34"/>
    <Relationship TargetMode="External" Target="https://www.legis.iowa.gov/docs/ico/chapter/432.1.pdf" Type="http://schemas.openxmlformats.org/officeDocument/2006/relationships/hyperlink" Id="rId35"/>
    <Relationship TargetMode="External" Target="https://www.legis.iowa.gov/docs/ico/chapter/432.2.pdf" Type="http://schemas.openxmlformats.org/officeDocument/2006/relationships/hyperlink" Id="rId36"/>
    <Relationship TargetMode="External" Target="https://www.legis.iowa.gov/docs/ico/chapter/432A.1.pdf" Type="http://schemas.openxmlformats.org/officeDocument/2006/relationships/hyperlink" Id="rId37"/>
    <Relationship TargetMode="External" Target="https://www.legis.iowa.gov/docs/ico/chapter/518.18.pdf" Type="http://schemas.openxmlformats.org/officeDocument/2006/relationships/hyperlink" Id="rId38"/>
    <Relationship TargetMode="External" Target="https://www.legis.iowa.gov/docs/ico/chapter/518A.35.pdf" Type="http://schemas.openxmlformats.org/officeDocument/2006/relationships/hyperlink" Id="rId39"/>
    <Relationship TargetMode="External" Target="https://www.legis.iowa.gov/docs/iac/rule/701.405.6.pdf" Type="http://schemas.openxmlformats.org/officeDocument/2006/relationships/hyperlink" Id="rId40"/>
    <Relationship TargetMode="External" Target="https://www.legis.iowa.gov/docs/ico/chapter/422.16B.pdf" Type="http://schemas.openxmlformats.org/officeDocument/2006/relationships/hyperlink" Id="rId41"/>
    <Relationship TargetMode="External" Target="https://www.legis.iowa.gov/docs/iac/rule/701.405.6.pdf" Type="http://schemas.openxmlformats.org/officeDocument/2006/relationships/hyperlink" Id="rId42"/>
    <Relationship TargetMode="External" Target="https://www.legis.iowa.gov/docs/iac/rule/701.405.6.pdf" Type="http://schemas.openxmlformats.org/officeDocument/2006/relationships/hyperlink" Id="rId43"/>
    <Relationship TargetMode="External" Target="https://www.legis.iowa.gov/docs/iac/rule/701.405.6.pdf" Type="http://schemas.openxmlformats.org/officeDocument/2006/relationships/hyperlink" Id="rId44"/>
    <Relationship TargetMode="External" Target="https://www.legis.iowa.gov/docs/iac/rule/701.405.6.pdf" Type="http://schemas.openxmlformats.org/officeDocument/2006/relationships/hyperlink" Id="rId45"/>
    <Relationship TargetMode="External" Target="https://www.legis.iowa.gov/docs/iac/rule/701.405.6.pdf" Type="http://schemas.openxmlformats.org/officeDocument/2006/relationships/hyperlink" Id="rId46"/>
    <Relationship TargetMode="External" Target="https://www.legis.iowa.gov/docs/iac/rule/701.405.6.pdf" Type="http://schemas.openxmlformats.org/officeDocument/2006/relationships/hyperlink" Id="rId47"/>
    <Relationship TargetMode="External" Target="https://www.legis.iowa.gov/docs/ico/chapter/422.16B.pdf" Type="http://schemas.openxmlformats.org/officeDocument/2006/relationships/hyperlink" Id="rId48"/>
    <Relationship TargetMode="External" Target="https://www.legis.iowa.gov/docs/ico/chapter/422.33.pdf" Type="http://schemas.openxmlformats.org/officeDocument/2006/relationships/hyperlink" Id="rId49"/>
    <Relationship TargetMode="External" Target="https://www.legis.iowa.gov/docs/ico/chapter/422.63.pdf" Type="http://schemas.openxmlformats.org/officeDocument/2006/relationships/hyperlink" Id="rId50"/>
    <Relationship TargetMode="External" Target="https://www.legis.iowa.gov/docs/ico/chapter/422.5.pdf" Type="http://schemas.openxmlformats.org/officeDocument/2006/relationships/hyperlink" Id="rId51"/>
    <Relationship TargetMode="External" Target="https://www.legis.iowa.gov/docs/ico/chapter/422.16B.pdf" Type="http://schemas.openxmlformats.org/officeDocument/2006/relationships/hyperlink" Id="rId52"/>
    <Relationship TargetMode="External" Target="https://www.legis.iowa.gov/docs/iac/rule/701.405.8.pdf" Type="http://schemas.openxmlformats.org/officeDocument/2006/relationships/hyperlink" Id="rId53"/>
    <Relationship TargetMode="External" Target="https://www.legis.iowa.gov/docs/iac/rule/701.405.8.pdf" Type="http://schemas.openxmlformats.org/officeDocument/2006/relationships/hyperlink" Id="rId54"/>
    <Relationship TargetMode="External" Target="https://www.legis.iowa.gov/docs/ico/chapter/422.61.pdf" Type="http://schemas.openxmlformats.org/officeDocument/2006/relationships/hyperlink" Id="rId55"/>
    <Relationship TargetMode="External" Target="https://www.legis.iowa.gov/docs/ico/chapter/422.14.pdf" Type="http://schemas.openxmlformats.org/officeDocument/2006/relationships/hyperlink" Id="rId56"/>
    <Relationship TargetMode="External" Target="https://www.legis.iowa.gov/docs/ico/chapter/422.14.pdf" Type="http://schemas.openxmlformats.org/officeDocument/2006/relationships/hyperlink" Id="rId57"/>
    <Relationship TargetMode="External" Target="https://www.legis.iowa.gov/docs/ico/chapter/422.13.pdf" Type="http://schemas.openxmlformats.org/officeDocument/2006/relationships/hyperlink" Id="rId58"/>
    <Relationship TargetMode="External" Target="https://www.legis.iowa.gov/docs/ico/chapter/422.16B.pdf" Type="http://schemas.openxmlformats.org/officeDocument/2006/relationships/hyperlink" Id="rId59"/>
    <Relationship TargetMode="External" Target="https://www.legis.iowa.gov/docs/ico/chapter/422.16B.pdf" Type="http://schemas.openxmlformats.org/officeDocument/2006/relationships/hyperlink" Id="rId60"/>
    <Relationship Target="footer.xml" Type="http://schemas.openxmlformats.org/officeDocument/2006/relationships/footer" Id="rId6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